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B6" w:rsidRPr="00B20910" w:rsidRDefault="00E42EB6" w:rsidP="00E42EB6">
      <w:pPr>
        <w:ind w:firstLine="567"/>
        <w:jc w:val="right"/>
        <w:outlineLvl w:val="0"/>
        <w:rPr>
          <w:b/>
          <w:i/>
          <w:lang w:val="pl-PL"/>
        </w:rPr>
      </w:pPr>
      <w:r w:rsidRPr="00B20910">
        <w:rPr>
          <w:rFonts w:eastAsia="Batang"/>
          <w:b/>
          <w:i/>
          <w:spacing w:val="-6"/>
          <w:lang w:val="hr-HR" w:eastAsia="ko-KR"/>
        </w:rPr>
        <w:t>PHỤC LỤC II/ATBXHN</w:t>
      </w:r>
      <w:r w:rsidRPr="00B20910">
        <w:rPr>
          <w:rFonts w:eastAsia="Batang"/>
          <w:i/>
          <w:spacing w:val="-6"/>
          <w:lang w:val="hr-HR" w:eastAsia="ko-KR"/>
        </w:rPr>
        <w:t xml:space="preserve"> - Nghị định số 142/2020/NĐ-CP</w:t>
      </w:r>
    </w:p>
    <w:p w:rsidR="00E42EB6" w:rsidRPr="00B20910" w:rsidRDefault="00E42EB6" w:rsidP="00E42EB6">
      <w:pPr>
        <w:spacing w:before="120" w:after="280" w:afterAutospacing="1"/>
        <w:jc w:val="center"/>
        <w:rPr>
          <w:lang w:val="pl-PL"/>
        </w:rPr>
      </w:pPr>
      <w:bookmarkStart w:id="0" w:name="chuong_pl_2_name"/>
      <w:r w:rsidRPr="00B20910">
        <w:rPr>
          <w:lang w:val="vi-VN"/>
        </w:rPr>
        <w:t>NỘI DUNG KẾ HOẠCH ỨNG PHÓ SỰ CỐ BỨC XẠ CẤP CƠ SỞ</w:t>
      </w:r>
      <w:bookmarkEnd w:id="0"/>
      <w:r w:rsidRPr="00B20910">
        <w:rPr>
          <w:lang w:val="vi-VN"/>
        </w:rPr>
        <w:br/>
      </w:r>
      <w:r w:rsidRPr="00B20910">
        <w:rPr>
          <w:i/>
          <w:iCs/>
          <w:lang w:val="vi-VN"/>
        </w:rPr>
        <w:t>(Kèm theo Nghị định số 142/2020/NĐ-CP ngày 09 tháng 12 năm 2020 của Chính phủ)</w:t>
      </w:r>
    </w:p>
    <w:p w:rsidR="00E42EB6" w:rsidRPr="00B20910" w:rsidRDefault="00E42EB6" w:rsidP="00E42EB6">
      <w:pPr>
        <w:spacing w:before="120" w:after="280" w:afterAutospacing="1"/>
        <w:jc w:val="center"/>
        <w:rPr>
          <w:lang w:val="pl-PL"/>
        </w:rPr>
      </w:pPr>
      <w:r w:rsidRPr="00B20910">
        <w:rPr>
          <w:b/>
          <w:bCs/>
          <w:lang w:val="vi-VN"/>
        </w:rPr>
        <w:t>Phần I</w:t>
      </w:r>
    </w:p>
    <w:p w:rsidR="00E42EB6" w:rsidRPr="00B20910" w:rsidRDefault="00E42EB6" w:rsidP="00E42EB6">
      <w:pPr>
        <w:spacing w:before="120" w:after="280" w:afterAutospacing="1"/>
        <w:jc w:val="center"/>
        <w:rPr>
          <w:lang w:val="pl-PL"/>
        </w:rPr>
      </w:pPr>
      <w:r w:rsidRPr="00B20910">
        <w:rPr>
          <w:b/>
          <w:bCs/>
          <w:lang w:val="vi-VN"/>
        </w:rPr>
        <w:t>NỘI DUNG KẾ HOẠCH ỨNG PHÓ SỰ CỐ BỨC XẠ TRONG TRƯỜNG HỢP PHẢI ĐỀ NGHỊ PHÊ DUYỆT</w:t>
      </w:r>
    </w:p>
    <w:p w:rsidR="00E42EB6" w:rsidRPr="00B20910" w:rsidRDefault="00E42EB6" w:rsidP="00E42EB6">
      <w:pPr>
        <w:spacing w:before="120" w:after="280" w:afterAutospacing="1"/>
        <w:rPr>
          <w:lang w:val="pl-PL"/>
        </w:rPr>
      </w:pPr>
      <w:r w:rsidRPr="00B20910">
        <w:rPr>
          <w:b/>
          <w:bCs/>
          <w:lang w:val="vi-VN"/>
        </w:rPr>
        <w:t>I. KẾ HOẠCH ỨNG PHÓ SỰ CỐ ĐỐI VỚI TỔ CHỨC, CÁ NHÂN TIẾN HÀNH CÔNG VIỆC BỨC XẠ, TRỪ CÁC CÔNG VIỆC NÊU TẠI MỤC I.2</w:t>
      </w:r>
    </w:p>
    <w:p w:rsidR="00E42EB6" w:rsidRPr="00B20910" w:rsidRDefault="00E42EB6" w:rsidP="00E42EB6">
      <w:pPr>
        <w:spacing w:before="120" w:after="280" w:afterAutospacing="1"/>
        <w:rPr>
          <w:lang w:val="vi-VN"/>
        </w:rPr>
      </w:pPr>
      <w:r w:rsidRPr="00B20910">
        <w:rPr>
          <w:lang w:val="vi-VN"/>
        </w:rPr>
        <w:t>1. Căn cứ pháp lý, phạm vi điều chỉnh và đối tượng áp dụng của bản kế hoạch ứng phó sự cố; giải thích khái niệm, thuật ngữ được dùng trong kế hoạch ứng phó sự cố.</w:t>
      </w:r>
    </w:p>
    <w:p w:rsidR="00E42EB6" w:rsidRPr="00B20910" w:rsidRDefault="00E42EB6" w:rsidP="00E42EB6">
      <w:pPr>
        <w:spacing w:before="120" w:after="280" w:afterAutospacing="1"/>
        <w:rPr>
          <w:lang w:val="vi-VN"/>
        </w:rPr>
      </w:pPr>
      <w:r w:rsidRPr="00B20910">
        <w:rPr>
          <w:lang w:val="vi-VN"/>
        </w:rPr>
        <w:t>2. Mô tả loại hình công việc bức xạ của cơ sở; phân tích nguy cơ và xác định các tình huống sự cố, hậu quả có thể xảy ra</w:t>
      </w:r>
    </w:p>
    <w:p w:rsidR="00E42EB6" w:rsidRPr="00B20910" w:rsidRDefault="00E42EB6" w:rsidP="00E42EB6">
      <w:pPr>
        <w:spacing w:before="120" w:after="280" w:afterAutospacing="1"/>
        <w:rPr>
          <w:lang w:val="vi-VN"/>
        </w:rPr>
      </w:pPr>
      <w:r w:rsidRPr="00B20910">
        <w:rPr>
          <w:lang w:val="vi-VN"/>
        </w:rPr>
        <w:t>3. Sơ đồ tổ chức ứng phó sự cố tại cơ sở; trách nhiệm của tổ chức, cá nhân liên quan và nguồn lực phục vụ ứng phó sự cố.</w:t>
      </w:r>
    </w:p>
    <w:p w:rsidR="00E42EB6" w:rsidRPr="00B20910" w:rsidRDefault="00E42EB6" w:rsidP="00E42EB6">
      <w:pPr>
        <w:spacing w:before="120" w:after="280" w:afterAutospacing="1"/>
        <w:rPr>
          <w:lang w:val="vi-VN"/>
        </w:rPr>
      </w:pPr>
      <w:r w:rsidRPr="00B20910">
        <w:rPr>
          <w:lang w:val="vi-VN"/>
        </w:rPr>
        <w:t>4. Kịch bản ứng phó cho từng tình huống sự cố có thể xảy ra, gồm các nội dung sau đây:</w:t>
      </w:r>
    </w:p>
    <w:p w:rsidR="00E42EB6" w:rsidRPr="00B20910" w:rsidRDefault="00E42EB6" w:rsidP="00E42EB6">
      <w:pPr>
        <w:spacing w:before="120" w:after="280" w:afterAutospacing="1"/>
        <w:rPr>
          <w:lang w:val="vi-VN"/>
        </w:rPr>
      </w:pPr>
      <w:r w:rsidRPr="00B20910">
        <w:rPr>
          <w:lang w:val="vi-VN"/>
        </w:rPr>
        <w:t>a) Tiếp nhận và xử lý thông tin sự cố: Quy trình tiếp nhận và xử lý thông tin; hướng dẫn bảo vệ công chúng và hạn chế sự lan rộng của sự cố, xác định mức độ huy động nguồn lực ứng phó ban đầu;</w:t>
      </w:r>
    </w:p>
    <w:p w:rsidR="00E42EB6" w:rsidRPr="00B20910" w:rsidRDefault="00E42EB6" w:rsidP="00E42EB6">
      <w:pPr>
        <w:spacing w:before="120" w:after="280" w:afterAutospacing="1"/>
        <w:rPr>
          <w:lang w:val="vi-VN"/>
        </w:rPr>
      </w:pPr>
      <w:r w:rsidRPr="00B20910">
        <w:rPr>
          <w:lang w:val="vi-VN"/>
        </w:rPr>
        <w:t>b) Thông báo cho các tổ chức, cá nhân tham gia ứng phó sự cố: Quy trình thông báo tới các tổ chức, cá nhân tham gia ứng phó sự cố; quy định người chịu trách nhiệm chỉ huy ứng phó sự cố tại hiện trường;</w:t>
      </w:r>
    </w:p>
    <w:p w:rsidR="00E42EB6" w:rsidRPr="00B20910" w:rsidRDefault="00E42EB6" w:rsidP="00E42EB6">
      <w:pPr>
        <w:spacing w:before="120" w:after="280" w:afterAutospacing="1"/>
        <w:rPr>
          <w:lang w:val="vi-VN"/>
        </w:rPr>
      </w:pPr>
      <w:r w:rsidRPr="00B20910">
        <w:rPr>
          <w:lang w:val="vi-VN"/>
        </w:rPr>
        <w:t>c) Huy động nguồn lực và triển khai ứng phó: Quy định trách nhiệm huy động và triển khai nguồn lực ứng phó sự cố;</w:t>
      </w:r>
    </w:p>
    <w:p w:rsidR="00E42EB6" w:rsidRPr="00B20910" w:rsidRDefault="00E42EB6" w:rsidP="00E42EB6">
      <w:pPr>
        <w:spacing w:before="120" w:after="280" w:afterAutospacing="1"/>
        <w:rPr>
          <w:lang w:val="vi-VN"/>
        </w:rPr>
      </w:pPr>
      <w:r w:rsidRPr="00B20910">
        <w:rPr>
          <w:lang w:val="vi-VN"/>
        </w:rPr>
        <w:t>d) Tiến hành các biện pháp can thiệp tại hiện trường: Sơ tán người dân khi cần thiết, tiến hành phân loại người nhiễm bẩn phóng xạ và tiến hành tẩy xạ tại chỗ, thu hồi nguồn phóng xạ hoặc tẩy xạ, bảo vệ nhân viên ứng phó và người dân, cấp cứu và điều trị cho nạn nhân...; yêu cầu hỗ trợ ứng phó;</w:t>
      </w:r>
    </w:p>
    <w:p w:rsidR="00E42EB6" w:rsidRPr="00B20910" w:rsidRDefault="00E42EB6" w:rsidP="00E42EB6">
      <w:pPr>
        <w:spacing w:before="120" w:after="280" w:afterAutospacing="1"/>
        <w:rPr>
          <w:lang w:val="vi-VN"/>
        </w:rPr>
      </w:pPr>
      <w:r w:rsidRPr="00B20910">
        <w:rPr>
          <w:lang w:val="vi-VN"/>
        </w:rPr>
        <w:t xml:space="preserve">đ) Kết thúc hoạt động ứng phó và chuẩn bị kế hoạch khắc phục dài hạn: Cách thức ra quyết định kết thúc sự cố và thông báo cho người dân về quyết định đó; </w:t>
      </w:r>
      <w:r w:rsidRPr="00B20910">
        <w:rPr>
          <w:lang w:val="vi-VN"/>
        </w:rPr>
        <w:lastRenderedPageBreak/>
        <w:t>xác định tiêu chí và lập kế hoạch về kiểm soát phóng xạ, khắc phục hậu quả môi trường, theo dõi và điều trị nạn nhân;</w:t>
      </w:r>
    </w:p>
    <w:p w:rsidR="00E42EB6" w:rsidRPr="00B20910" w:rsidRDefault="00E42EB6" w:rsidP="00E42EB6">
      <w:pPr>
        <w:spacing w:before="120" w:after="280" w:afterAutospacing="1"/>
        <w:rPr>
          <w:lang w:val="vi-VN"/>
        </w:rPr>
      </w:pPr>
      <w:r w:rsidRPr="00B20910">
        <w:rPr>
          <w:lang w:val="vi-VN"/>
        </w:rPr>
        <w:t>e)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E42EB6" w:rsidRPr="00B20910" w:rsidRDefault="00E42EB6" w:rsidP="00E42EB6">
      <w:pPr>
        <w:spacing w:before="120" w:after="280" w:afterAutospacing="1"/>
        <w:rPr>
          <w:lang w:val="vi-VN"/>
        </w:rPr>
      </w:pPr>
      <w:r w:rsidRPr="00B20910">
        <w:rPr>
          <w:lang w:val="vi-VN"/>
        </w:rPr>
        <w:t>5. Đào tạo, diễn tập, cập nhật kế hoạch ứng phó sự cố.</w:t>
      </w:r>
    </w:p>
    <w:p w:rsidR="00E42EB6" w:rsidRPr="00B20910" w:rsidRDefault="00E42EB6" w:rsidP="00E42EB6">
      <w:pPr>
        <w:spacing w:before="120" w:after="280" w:afterAutospacing="1"/>
        <w:rPr>
          <w:lang w:val="vi-VN"/>
        </w:rPr>
      </w:pPr>
      <w:r w:rsidRPr="00B20910">
        <w:rPr>
          <w:lang w:val="vi-VN"/>
        </w:rPr>
        <w:t>6. Tài liệu kèm theo:</w:t>
      </w:r>
    </w:p>
    <w:p w:rsidR="00E42EB6" w:rsidRPr="00B20910" w:rsidRDefault="00E42EB6" w:rsidP="00E42EB6">
      <w:pPr>
        <w:spacing w:before="120" w:after="280" w:afterAutospacing="1"/>
        <w:rPr>
          <w:lang w:val="vi-VN"/>
        </w:rPr>
      </w:pPr>
      <w:r w:rsidRPr="00B20910">
        <w:rPr>
          <w:lang w:val="vi-VN"/>
        </w:rPr>
        <w:t>a) Danh mục nguồn phóng xạ, thiết bị bức xạ của cơ sở (Thông tin nguồn/thiết bị, giấy phép liên quan);</w:t>
      </w:r>
    </w:p>
    <w:p w:rsidR="00E42EB6" w:rsidRPr="00B20910" w:rsidRDefault="00E42EB6" w:rsidP="00E42EB6">
      <w:pPr>
        <w:spacing w:before="120" w:after="280" w:afterAutospacing="1"/>
        <w:rPr>
          <w:lang w:val="vi-VN"/>
        </w:rPr>
      </w:pPr>
      <w:r w:rsidRPr="00B20910">
        <w:rPr>
          <w:lang w:val="vi-VN"/>
        </w:rPr>
        <w:t>b) Sơ đồ mặt bằng cơ sở, nơi tiến hành công việc bức xạ;</w:t>
      </w:r>
    </w:p>
    <w:p w:rsidR="00E42EB6" w:rsidRPr="00B20910" w:rsidRDefault="00E42EB6" w:rsidP="00E42EB6">
      <w:pPr>
        <w:spacing w:before="120" w:after="280" w:afterAutospacing="1"/>
        <w:rPr>
          <w:lang w:val="vi-VN"/>
        </w:rPr>
      </w:pPr>
      <w:r w:rsidRPr="00B20910">
        <w:rPr>
          <w:lang w:val="vi-VN"/>
        </w:rPr>
        <w:t>c) Danh mục trang thiết bị sử dụng trong ứng phó sự cố;</w:t>
      </w:r>
    </w:p>
    <w:p w:rsidR="00E42EB6" w:rsidRPr="00B20910" w:rsidRDefault="00E42EB6" w:rsidP="00E42EB6">
      <w:pPr>
        <w:spacing w:before="120" w:after="280" w:afterAutospacing="1"/>
        <w:rPr>
          <w:lang w:val="vi-VN"/>
        </w:rPr>
      </w:pPr>
      <w:r w:rsidRPr="00B20910">
        <w:rPr>
          <w:lang w:val="vi-VN"/>
        </w:rPr>
        <w:t>d) Danh sách, địa chỉ, số điện thoại liên lạc của tổ chức, cá nhân tham gia ứng phó sự cố và tổ chức, cá nhân hỗ trợ;</w:t>
      </w:r>
    </w:p>
    <w:p w:rsidR="00E42EB6" w:rsidRPr="00B20910" w:rsidRDefault="00E42EB6" w:rsidP="00E42EB6">
      <w:pPr>
        <w:spacing w:before="120" w:after="280" w:afterAutospacing="1"/>
      </w:pPr>
      <w:r w:rsidRPr="00B20910">
        <w:rPr>
          <w:lang w:val="vi-VN"/>
        </w:rPr>
        <w:t>đ) Các biểu mẫu: Thông báo và tiếp nhận thông tin; yêu cầu trợ giúp; Báo cáo trong quá trình ứng phó và sau khi sự cố kết thúc.</w:t>
      </w:r>
    </w:p>
    <w:p w:rsidR="00E42EB6" w:rsidRPr="00B20910" w:rsidRDefault="00E42EB6" w:rsidP="00E42EB6">
      <w:pPr>
        <w:spacing w:before="120" w:after="280" w:afterAutospacing="1"/>
        <w:rPr>
          <w:lang w:val="pl-PL"/>
        </w:rPr>
      </w:pPr>
      <w:r w:rsidRPr="00B20910">
        <w:rPr>
          <w:b/>
          <w:bCs/>
          <w:lang w:val="vi-VN"/>
        </w:rPr>
        <w:t>II. KẾ HOẠCH ỨNG PHÓ SỰ CỐ ĐỐI VỚI CƠ SỞ TIẾN HÀNH CÔNG VIỆC BỨC XẠ ĐÓNG GÓI, VẬN CHUYỂN NGUỒN PHÓNG XẠ, VẬT LIỆU HẠT NHÂN NGUỒN, VẬT LIỆU HẠT NHÂN</w:t>
      </w:r>
    </w:p>
    <w:p w:rsidR="00E42EB6" w:rsidRPr="00B20910" w:rsidRDefault="00E42EB6" w:rsidP="00E42EB6">
      <w:pPr>
        <w:spacing w:before="120" w:after="280" w:afterAutospacing="1"/>
        <w:rPr>
          <w:lang w:val="vi-VN"/>
        </w:rPr>
      </w:pPr>
      <w:r w:rsidRPr="00B20910">
        <w:rPr>
          <w:lang w:val="vi-VN"/>
        </w:rPr>
        <w:t>1. Căn cứ pháp lý, trách nhiệm của tổ chức, cá nhân trong việc xây dựng, thực hiện và chỉnh sửa kế hoạch.</w:t>
      </w:r>
    </w:p>
    <w:p w:rsidR="00E42EB6" w:rsidRPr="00B20910" w:rsidRDefault="00E42EB6" w:rsidP="00E42EB6">
      <w:pPr>
        <w:spacing w:before="120" w:after="280" w:afterAutospacing="1"/>
        <w:rPr>
          <w:lang w:val="vi-VN"/>
        </w:rPr>
      </w:pPr>
      <w:r w:rsidRPr="00B20910">
        <w:rPr>
          <w:lang w:val="vi-VN"/>
        </w:rPr>
        <w:t>2. Mô tả loại hình công việc bức xạ của cơ sở; phân tích nguy cơ và xác định các tình huống sự cố, hậu quả có thể xảy ra.</w:t>
      </w:r>
    </w:p>
    <w:p w:rsidR="00E42EB6" w:rsidRPr="00B20910" w:rsidRDefault="00E42EB6" w:rsidP="00E42EB6">
      <w:pPr>
        <w:spacing w:before="120" w:after="280" w:afterAutospacing="1"/>
        <w:rPr>
          <w:lang w:val="vi-VN"/>
        </w:rPr>
      </w:pPr>
      <w:r w:rsidRPr="00B20910">
        <w:rPr>
          <w:lang w:val="vi-VN"/>
        </w:rPr>
        <w:t>3. Hướng dẫn về các hành động cần thực hiện ngay khi xảy ra sự cố để giảm thiểu hậu quả sự cố.</w:t>
      </w:r>
    </w:p>
    <w:p w:rsidR="00E42EB6" w:rsidRPr="00B20910" w:rsidRDefault="00E42EB6" w:rsidP="00E42EB6">
      <w:pPr>
        <w:spacing w:before="120" w:after="280" w:afterAutospacing="1"/>
        <w:rPr>
          <w:lang w:val="vi-VN"/>
        </w:rPr>
      </w:pPr>
      <w:r w:rsidRPr="00B20910">
        <w:rPr>
          <w:lang w:val="vi-VN"/>
        </w:rPr>
        <w:t>4. Quy trình ứng phó cho từng tình huống sự cố có thể xảy ra, trong đó có các nội dung sau:</w:t>
      </w:r>
    </w:p>
    <w:p w:rsidR="00E42EB6" w:rsidRPr="00B20910" w:rsidRDefault="00E42EB6" w:rsidP="00E42EB6">
      <w:pPr>
        <w:spacing w:before="120" w:after="280" w:afterAutospacing="1"/>
        <w:rPr>
          <w:lang w:val="vi-VN"/>
        </w:rPr>
      </w:pPr>
      <w:r w:rsidRPr="00B20910">
        <w:rPr>
          <w:lang w:val="vi-VN"/>
        </w:rPr>
        <w:t>a) Mục tiêu;</w:t>
      </w:r>
    </w:p>
    <w:p w:rsidR="00E42EB6" w:rsidRPr="00B20910" w:rsidRDefault="00E42EB6" w:rsidP="00E42EB6">
      <w:pPr>
        <w:spacing w:before="120" w:after="280" w:afterAutospacing="1"/>
        <w:rPr>
          <w:lang w:val="vi-VN"/>
        </w:rPr>
      </w:pPr>
      <w:r w:rsidRPr="00B20910">
        <w:rPr>
          <w:lang w:val="vi-VN"/>
        </w:rPr>
        <w:t>b) Các bước cần thực hiện, đối tượng thực hiện, biện pháp thực hiện;</w:t>
      </w:r>
    </w:p>
    <w:p w:rsidR="00E42EB6" w:rsidRPr="00B20910" w:rsidRDefault="00E42EB6" w:rsidP="00E42EB6">
      <w:pPr>
        <w:spacing w:before="120" w:after="280" w:afterAutospacing="1"/>
        <w:rPr>
          <w:lang w:val="vi-VN"/>
        </w:rPr>
      </w:pPr>
      <w:r w:rsidRPr="00B20910">
        <w:rPr>
          <w:lang w:val="vi-VN"/>
        </w:rPr>
        <w:t>c) Báo cáo trong quá trình ứng phó và sau khi kết thúc ứng phó sự cố;</w:t>
      </w:r>
    </w:p>
    <w:p w:rsidR="00E42EB6" w:rsidRPr="00B20910" w:rsidRDefault="00E42EB6" w:rsidP="00E42EB6">
      <w:pPr>
        <w:spacing w:before="120" w:after="280" w:afterAutospacing="1"/>
        <w:rPr>
          <w:lang w:val="vi-VN"/>
        </w:rPr>
      </w:pPr>
      <w:r w:rsidRPr="00B20910">
        <w:rPr>
          <w:lang w:val="vi-VN"/>
        </w:rPr>
        <w:lastRenderedPageBreak/>
        <w:t>d) Tổ chức, cá nhân liên quan.</w:t>
      </w:r>
    </w:p>
    <w:p w:rsidR="00E42EB6" w:rsidRPr="00B20910" w:rsidRDefault="00E42EB6" w:rsidP="00E42EB6">
      <w:pPr>
        <w:spacing w:before="120" w:after="280" w:afterAutospacing="1"/>
        <w:rPr>
          <w:lang w:val="vi-VN"/>
        </w:rPr>
      </w:pPr>
      <w:r w:rsidRPr="00B20910">
        <w:rPr>
          <w:lang w:val="vi-VN"/>
        </w:rPr>
        <w:t>5. Quy định về đào tạo, diễn tập, cập nhật kế hoạch ứng phó sự cố.</w:t>
      </w:r>
    </w:p>
    <w:p w:rsidR="00E42EB6" w:rsidRPr="00B20910" w:rsidRDefault="00E42EB6" w:rsidP="00E42EB6">
      <w:pPr>
        <w:spacing w:before="120" w:after="280" w:afterAutospacing="1"/>
        <w:rPr>
          <w:lang w:val="vi-VN"/>
        </w:rPr>
      </w:pPr>
      <w:r w:rsidRPr="00B20910">
        <w:rPr>
          <w:lang w:val="vi-VN"/>
        </w:rPr>
        <w:t>6. Tài liệu kèm theo:</w:t>
      </w:r>
    </w:p>
    <w:p w:rsidR="00E42EB6" w:rsidRPr="00B20910" w:rsidRDefault="00E42EB6" w:rsidP="00E42EB6">
      <w:pPr>
        <w:spacing w:before="120" w:after="280" w:afterAutospacing="1"/>
        <w:rPr>
          <w:lang w:val="vi-VN"/>
        </w:rPr>
      </w:pPr>
      <w:r w:rsidRPr="00B20910">
        <w:rPr>
          <w:lang w:val="vi-VN"/>
        </w:rPr>
        <w:t>a) Danh sách, địa chỉ, số điện thoại liên lạc của tổ chức, cá nhân tham gia ứng phó sự cố và tổ chức, cá nhân hỗ trợ;</w:t>
      </w:r>
    </w:p>
    <w:p w:rsidR="00E42EB6" w:rsidRPr="00B20910" w:rsidRDefault="00E42EB6" w:rsidP="00E42EB6">
      <w:pPr>
        <w:spacing w:before="120" w:after="280" w:afterAutospacing="1"/>
        <w:rPr>
          <w:lang w:val="vi-VN"/>
        </w:rPr>
      </w:pPr>
      <w:r w:rsidRPr="00B20910">
        <w:rPr>
          <w:lang w:val="vi-VN"/>
        </w:rPr>
        <w:t>b) Danh mục trang thiết bị sử dụng trong ứng phó sự cố;</w:t>
      </w:r>
    </w:p>
    <w:p w:rsidR="00E42EB6" w:rsidRPr="00B20910" w:rsidRDefault="00E42EB6" w:rsidP="00E42EB6">
      <w:pPr>
        <w:spacing w:before="120" w:after="280" w:afterAutospacing="1"/>
      </w:pPr>
      <w:r w:rsidRPr="00B20910">
        <w:rPr>
          <w:lang w:val="vi-VN"/>
        </w:rPr>
        <w:t>c) Các biểu mẫu: Thông báo và tiếp nhận thông tin; yêu cầu trợ giúp; báo cáo trong quá trình ứng phó và sau khi sự cố kết thúc.</w:t>
      </w:r>
    </w:p>
    <w:p w:rsidR="00E42EB6" w:rsidRPr="00B20910" w:rsidRDefault="00E42EB6" w:rsidP="00E42EB6">
      <w:pPr>
        <w:spacing w:before="120" w:after="280" w:afterAutospacing="1"/>
        <w:jc w:val="center"/>
        <w:rPr>
          <w:lang w:val="pl-PL"/>
        </w:rPr>
      </w:pPr>
      <w:r w:rsidRPr="00B20910">
        <w:rPr>
          <w:b/>
          <w:bCs/>
          <w:lang w:val="vi-VN"/>
        </w:rPr>
        <w:t>Phần II</w:t>
      </w:r>
    </w:p>
    <w:p w:rsidR="00E42EB6" w:rsidRPr="00B20910" w:rsidRDefault="00E42EB6" w:rsidP="00E42EB6">
      <w:pPr>
        <w:spacing w:before="120" w:after="280" w:afterAutospacing="1"/>
        <w:jc w:val="center"/>
        <w:rPr>
          <w:lang w:val="pl-PL"/>
        </w:rPr>
      </w:pPr>
      <w:r w:rsidRPr="00B20910">
        <w:rPr>
          <w:b/>
          <w:bCs/>
          <w:lang w:val="vi-VN"/>
        </w:rPr>
        <w:t>NỘI DUNG KẾ HOẠCH ỨNG PHÓ SỰ CỐ BỨC XẠ TRONG TRƯỜNG HỢP KHÔNG PHÊ DUYỆT</w:t>
      </w:r>
    </w:p>
    <w:p w:rsidR="00E42EB6" w:rsidRPr="00B20910" w:rsidRDefault="00E42EB6" w:rsidP="00E42EB6">
      <w:pPr>
        <w:spacing w:before="120" w:after="280" w:afterAutospacing="1"/>
        <w:rPr>
          <w:lang w:val="pl-PL"/>
        </w:rPr>
      </w:pPr>
      <w:r w:rsidRPr="00B20910">
        <w:rPr>
          <w:b/>
          <w:bCs/>
          <w:lang w:val="vi-VN"/>
        </w:rPr>
        <w:t>I. KẾ HOẠCH ỨNG PHÓ SỰ CỐ ĐỐI VỚI CƠ SỞ TIẾN HÀNH CÔNG VIỆC BỨC XẠ SỬ DỤNG, LƯU GIỮ, ĐÓNG GÓI VÀ VẬN CHUYỂN NGUỒN PHÓNG XẠ THUỘC NHÓM 3, NHÓM 4 THEO QUY ĐỊNH TẠI QCVN 6:2010/BKHCN</w:t>
      </w:r>
    </w:p>
    <w:p w:rsidR="00E42EB6" w:rsidRPr="00B20910" w:rsidRDefault="00E42EB6" w:rsidP="00E42EB6">
      <w:pPr>
        <w:spacing w:before="120" w:after="280" w:afterAutospacing="1"/>
        <w:rPr>
          <w:lang w:val="vi-VN"/>
        </w:rPr>
      </w:pPr>
      <w:r w:rsidRPr="00B20910">
        <w:rPr>
          <w:lang w:val="vi-VN"/>
        </w:rPr>
        <w:t>1. Căn cứ pháp lý, phạm vi điều chỉnh và đối tượng áp dụng của bản kế hoạch ứng phó sự cố; giải thích khái niệm, thuật ngữ được dùng trong kế hoạch ứng phó sự cố.</w:t>
      </w:r>
    </w:p>
    <w:p w:rsidR="00E42EB6" w:rsidRPr="00B20910" w:rsidRDefault="00E42EB6" w:rsidP="00E42EB6">
      <w:pPr>
        <w:spacing w:before="120" w:after="280" w:afterAutospacing="1"/>
        <w:rPr>
          <w:lang w:val="vi-VN"/>
        </w:rPr>
      </w:pPr>
      <w:r w:rsidRPr="00B20910">
        <w:rPr>
          <w:lang w:val="vi-VN"/>
        </w:rPr>
        <w:t>2. Mô tả loại hình công việc bức xạ của cơ sở; phân tích nguy cơ và xác định các tình huống sự cố, hậu quả có thể xảy ra.</w:t>
      </w:r>
    </w:p>
    <w:p w:rsidR="00E42EB6" w:rsidRPr="00B20910" w:rsidRDefault="00E42EB6" w:rsidP="00E42EB6">
      <w:pPr>
        <w:spacing w:before="120" w:after="280" w:afterAutospacing="1"/>
        <w:rPr>
          <w:lang w:val="vi-VN"/>
        </w:rPr>
      </w:pPr>
      <w:r w:rsidRPr="00B20910">
        <w:rPr>
          <w:lang w:val="vi-VN"/>
        </w:rPr>
        <w:t>3. Kịch bản ứng phó cho từng tình huống sự cố như mô tả ở khoản 2, gồm các nội dung sau đây:</w:t>
      </w:r>
    </w:p>
    <w:p w:rsidR="00E42EB6" w:rsidRPr="00B20910" w:rsidRDefault="00E42EB6" w:rsidP="00E42EB6">
      <w:pPr>
        <w:spacing w:before="120" w:after="280" w:afterAutospacing="1"/>
        <w:rPr>
          <w:lang w:val="vi-VN"/>
        </w:rPr>
      </w:pPr>
      <w:r w:rsidRPr="00B20910">
        <w:rPr>
          <w:lang w:val="vi-VN"/>
        </w:rPr>
        <w:t>a) Tiếp nhận và xử lý thông tin sự cố, thông báo cho các tổ chức, cá nhân tham gia ứng phó sự cố;</w:t>
      </w:r>
    </w:p>
    <w:p w:rsidR="00E42EB6" w:rsidRPr="00B20910" w:rsidRDefault="00E42EB6" w:rsidP="00E42EB6">
      <w:pPr>
        <w:spacing w:before="120" w:after="280" w:afterAutospacing="1"/>
        <w:rPr>
          <w:lang w:val="vi-VN"/>
        </w:rPr>
      </w:pPr>
      <w:r w:rsidRPr="00B20910">
        <w:rPr>
          <w:lang w:val="vi-VN"/>
        </w:rPr>
        <w:t>b) Quy trình ứng phó đối với từng tình huống sự cố;</w:t>
      </w:r>
    </w:p>
    <w:p w:rsidR="00E42EB6" w:rsidRPr="00B20910" w:rsidRDefault="00E42EB6" w:rsidP="00E42EB6">
      <w:pPr>
        <w:spacing w:before="120" w:after="280" w:afterAutospacing="1"/>
        <w:rPr>
          <w:lang w:val="vi-VN"/>
        </w:rPr>
      </w:pPr>
      <w:r w:rsidRPr="00B20910">
        <w:rPr>
          <w:lang w:val="vi-VN"/>
        </w:rPr>
        <w:t>c) Tiêu chí ra quyết định kết thúc ứng phó sự cố;</w:t>
      </w:r>
    </w:p>
    <w:p w:rsidR="00E42EB6" w:rsidRPr="00B20910" w:rsidRDefault="00E42EB6" w:rsidP="00E42EB6">
      <w:pPr>
        <w:spacing w:before="120" w:after="280" w:afterAutospacing="1"/>
        <w:rPr>
          <w:lang w:val="vi-VN"/>
        </w:rPr>
      </w:pPr>
      <w:r w:rsidRPr="00B20910">
        <w:rPr>
          <w:lang w:val="vi-VN"/>
        </w:rPr>
        <w:t>d) Việc khắc phục hậu quả về môi trường, theo dõi và điều trị về sức khỏe cho nạn nhân (nếu có);</w:t>
      </w:r>
    </w:p>
    <w:p w:rsidR="00E42EB6" w:rsidRPr="00B20910" w:rsidRDefault="00E42EB6" w:rsidP="00E42EB6">
      <w:pPr>
        <w:spacing w:before="120" w:after="280" w:afterAutospacing="1"/>
        <w:rPr>
          <w:lang w:val="vi-VN"/>
        </w:rPr>
      </w:pPr>
      <w:r w:rsidRPr="00B20910">
        <w:rPr>
          <w:lang w:val="vi-VN"/>
        </w:rPr>
        <w:t>đ) Báo cáo kết thúc sự cố: Nơi nhận, thời gian gửi, nội dung của báo cáo (hoạt động ứng phó sự cố; biện pháp khắc phục sự cố đã được tiến hành, hậu quả đối với con người và môi trường; đánh giá liều bức xạ, kết luận và kiến nghị).</w:t>
      </w:r>
    </w:p>
    <w:p w:rsidR="00E42EB6" w:rsidRPr="00B20910" w:rsidRDefault="00E42EB6" w:rsidP="00E42EB6">
      <w:pPr>
        <w:spacing w:before="120" w:after="280" w:afterAutospacing="1"/>
        <w:rPr>
          <w:lang w:val="vi-VN"/>
        </w:rPr>
      </w:pPr>
      <w:r w:rsidRPr="00B20910">
        <w:rPr>
          <w:lang w:val="vi-VN"/>
        </w:rPr>
        <w:lastRenderedPageBreak/>
        <w:t>4. Đào tạo, diễn tập, cập nhật kế hoạch ứng phó sự cố.</w:t>
      </w:r>
    </w:p>
    <w:p w:rsidR="00E42EB6" w:rsidRPr="00B20910" w:rsidRDefault="00E42EB6" w:rsidP="00E42EB6">
      <w:pPr>
        <w:spacing w:before="120" w:after="280" w:afterAutospacing="1"/>
        <w:rPr>
          <w:lang w:val="vi-VN"/>
        </w:rPr>
      </w:pPr>
      <w:r w:rsidRPr="00B20910">
        <w:rPr>
          <w:lang w:val="vi-VN"/>
        </w:rPr>
        <w:t>5. Tài liệu kèm theo:</w:t>
      </w:r>
    </w:p>
    <w:p w:rsidR="00E42EB6" w:rsidRPr="00B20910" w:rsidRDefault="00E42EB6" w:rsidP="00E42EB6">
      <w:pPr>
        <w:spacing w:before="120" w:after="280" w:afterAutospacing="1"/>
        <w:rPr>
          <w:lang w:val="vi-VN"/>
        </w:rPr>
      </w:pPr>
      <w:r w:rsidRPr="00B20910">
        <w:rPr>
          <w:lang w:val="vi-VN"/>
        </w:rPr>
        <w:t>a) Danh mục nguồn phóng xạ, thiết bị bức xạ của cơ sở (Thông tin nguồn/thiết bị, giấy phép liên quan);</w:t>
      </w:r>
    </w:p>
    <w:p w:rsidR="00E42EB6" w:rsidRPr="00B20910" w:rsidRDefault="00E42EB6" w:rsidP="00E42EB6">
      <w:pPr>
        <w:spacing w:before="120" w:after="280" w:afterAutospacing="1"/>
        <w:rPr>
          <w:lang w:val="vi-VN"/>
        </w:rPr>
      </w:pPr>
      <w:r w:rsidRPr="00B20910">
        <w:rPr>
          <w:lang w:val="vi-VN"/>
        </w:rPr>
        <w:t>b) Sơ đồ mặt bằng cơ sở, nơi tiến hành công việc bức xạ;</w:t>
      </w:r>
    </w:p>
    <w:p w:rsidR="00E42EB6" w:rsidRPr="00B20910" w:rsidRDefault="00E42EB6" w:rsidP="00E42EB6">
      <w:pPr>
        <w:spacing w:before="120" w:after="280" w:afterAutospacing="1"/>
        <w:rPr>
          <w:lang w:val="vi-VN"/>
        </w:rPr>
      </w:pPr>
      <w:r w:rsidRPr="00B20910">
        <w:rPr>
          <w:lang w:val="vi-VN"/>
        </w:rPr>
        <w:t>c) Danh mục trang thiết bị sử dụng trong ứng phó sự cố;</w:t>
      </w:r>
    </w:p>
    <w:p w:rsidR="00E42EB6" w:rsidRPr="00B20910" w:rsidRDefault="00E42EB6" w:rsidP="00E42EB6">
      <w:pPr>
        <w:spacing w:before="120" w:after="280" w:afterAutospacing="1"/>
        <w:rPr>
          <w:lang w:val="vi-VN"/>
        </w:rPr>
      </w:pPr>
      <w:r w:rsidRPr="00B20910">
        <w:rPr>
          <w:lang w:val="vi-VN"/>
        </w:rPr>
        <w:t>d) Danh sách, địa chỉ, số điện thoại liên lạc của tổ chức, cá nhân tham gia ứng phó sự cố và tổ chức, cá nhân hỗ trợ;</w:t>
      </w:r>
    </w:p>
    <w:p w:rsidR="00E42EB6" w:rsidRPr="00B20910" w:rsidRDefault="00E42EB6" w:rsidP="00E42EB6">
      <w:pPr>
        <w:spacing w:before="120" w:after="280" w:afterAutospacing="1"/>
      </w:pPr>
      <w:r w:rsidRPr="00B20910">
        <w:rPr>
          <w:lang w:val="vi-VN"/>
        </w:rPr>
        <w:t>đ) Các biểu mẫu: Thông báo và tiếp nhận thông tin; yêu cầu trợ giúp; báo cáo trong quá trình ứng phó và sau khi sự cố kết thúc.</w:t>
      </w:r>
    </w:p>
    <w:p w:rsidR="00E42EB6" w:rsidRPr="00B20910" w:rsidRDefault="00E42EB6" w:rsidP="00E42EB6">
      <w:pPr>
        <w:spacing w:before="120" w:after="280" w:afterAutospacing="1"/>
        <w:rPr>
          <w:lang w:val="pl-PL"/>
        </w:rPr>
      </w:pPr>
      <w:r w:rsidRPr="00B20910">
        <w:rPr>
          <w:b/>
          <w:bCs/>
          <w:lang w:val="vi-VN"/>
        </w:rPr>
        <w:t>II. KẾ HOẠCH ỨNG PHÓ SỰ CỐ ĐỐI VỚI CƠ SỞ TIẾN HÀNH CÔNG VIỆC BỨC XẠ SỬ DỤNG, LƯU GIỮ, ĐÓNG GÓI VÀ VẬN CHUYỂN NGUỒN PHÓNG XẠ THUỘC NHÓM 5 THEO QUY ĐỊNH TẠI QCVN 6:2010/BKHCN</w:t>
      </w:r>
    </w:p>
    <w:p w:rsidR="00E42EB6" w:rsidRPr="00B20910" w:rsidRDefault="00E42EB6" w:rsidP="00E42EB6">
      <w:pPr>
        <w:spacing w:before="120" w:after="280" w:afterAutospacing="1"/>
        <w:rPr>
          <w:lang w:val="pl-PL"/>
        </w:rPr>
      </w:pPr>
      <w:r w:rsidRPr="00B20910">
        <w:rPr>
          <w:lang w:val="vi-VN"/>
        </w:rPr>
        <w:t>1. Căn cứ pháp lý.</w:t>
      </w:r>
    </w:p>
    <w:p w:rsidR="00E42EB6" w:rsidRPr="00B20910" w:rsidRDefault="00E42EB6" w:rsidP="00E42EB6">
      <w:pPr>
        <w:spacing w:before="120" w:after="280" w:afterAutospacing="1"/>
        <w:rPr>
          <w:lang w:val="pl-PL"/>
        </w:rPr>
      </w:pPr>
      <w:r w:rsidRPr="00B20910">
        <w:rPr>
          <w:lang w:val="vi-VN"/>
        </w:rPr>
        <w:t>2. Mô tả loại hình công việc bức xạ của cơ sở; Phân tích nguy cơ, tình huống liên quan tới thất lạc nguồn phóng xạ, mất an toàn liên quan tới nguồn phóng xạ.</w:t>
      </w:r>
    </w:p>
    <w:p w:rsidR="00E42EB6" w:rsidRPr="00B20910" w:rsidRDefault="00E42EB6" w:rsidP="00E42EB6">
      <w:pPr>
        <w:spacing w:before="120" w:after="280" w:afterAutospacing="1"/>
        <w:rPr>
          <w:lang w:val="pl-PL"/>
        </w:rPr>
      </w:pPr>
      <w:r w:rsidRPr="00B20910">
        <w:rPr>
          <w:lang w:val="vi-VN"/>
        </w:rPr>
        <w:t>3. Kịch bản ứng phó sự cố cho từng tình huống mô tả tại khoản 2.</w:t>
      </w:r>
    </w:p>
    <w:p w:rsidR="00E42EB6" w:rsidRPr="00B20910" w:rsidRDefault="00E42EB6" w:rsidP="00E42EB6">
      <w:pPr>
        <w:spacing w:before="120" w:after="280" w:afterAutospacing="1"/>
        <w:rPr>
          <w:lang w:val="pl-PL"/>
        </w:rPr>
      </w:pPr>
      <w:r w:rsidRPr="00B20910">
        <w:rPr>
          <w:lang w:val="vi-VN"/>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E42EB6" w:rsidRPr="00B20910" w:rsidRDefault="00E42EB6" w:rsidP="00E42EB6">
      <w:pPr>
        <w:spacing w:before="120" w:after="280" w:afterAutospacing="1"/>
        <w:rPr>
          <w:lang w:val="pl-PL"/>
        </w:rPr>
      </w:pPr>
      <w:r w:rsidRPr="00B20910">
        <w:rPr>
          <w:b/>
          <w:bCs/>
          <w:lang w:val="vi-VN"/>
        </w:rPr>
        <w:t>III. KẾ HOẠCH ỨNG PHÓ SỰ CỐ ĐỐI VỚI CƠ SỞ SỬ DỤNG THIẾT BỊ X-QUANG CHẨN ĐOÁN Y TẾ VÀ THIẾT BỊ PHÁT TIA X KHÁC</w:t>
      </w:r>
    </w:p>
    <w:p w:rsidR="00E42EB6" w:rsidRPr="00B20910" w:rsidRDefault="00E42EB6" w:rsidP="00E42EB6">
      <w:pPr>
        <w:spacing w:before="120" w:after="280" w:afterAutospacing="1"/>
        <w:rPr>
          <w:lang w:val="pl-PL"/>
        </w:rPr>
      </w:pPr>
      <w:r w:rsidRPr="00B20910">
        <w:rPr>
          <w:lang w:val="vi-VN"/>
        </w:rPr>
        <w:t>1. Căn cứ pháp lý.</w:t>
      </w:r>
    </w:p>
    <w:p w:rsidR="00E42EB6" w:rsidRPr="00B20910" w:rsidRDefault="00E42EB6" w:rsidP="00E42EB6">
      <w:pPr>
        <w:spacing w:before="120" w:after="280" w:afterAutospacing="1"/>
        <w:rPr>
          <w:lang w:val="pl-PL"/>
        </w:rPr>
      </w:pPr>
      <w:r w:rsidRPr="00B20910">
        <w:rPr>
          <w:lang w:val="vi-VN"/>
        </w:rPr>
        <w:t>2. Trách nhiệm báo cáo sự cố khi có người bị chiếu xạ quá liều.</w:t>
      </w:r>
    </w:p>
    <w:p w:rsidR="00E42EB6" w:rsidRPr="00B20910" w:rsidRDefault="00E42EB6" w:rsidP="00E42EB6">
      <w:pPr>
        <w:spacing w:before="120" w:after="280" w:afterAutospacing="1"/>
        <w:rPr>
          <w:lang w:val="pl-PL"/>
        </w:rPr>
      </w:pPr>
      <w:r w:rsidRPr="00B20910">
        <w:rPr>
          <w:lang w:val="vi-VN"/>
        </w:rPr>
        <w:t>3. Báo cáo kết thúc sự cố: Nơi nhận, thời gian gửi, nội dung của báo cáo (hoạt động khắc phục sự cố đã thực hiện, hậu quả sự cố, đánh giá liều bức xạ, kết luận và kiến nghị).</w:t>
      </w:r>
    </w:p>
    <w:p w:rsidR="00E42EB6" w:rsidRPr="00B20910" w:rsidRDefault="00E42EB6" w:rsidP="00E42EB6">
      <w:pPr>
        <w:spacing w:before="120" w:after="280" w:afterAutospacing="1"/>
        <w:rPr>
          <w:lang w:val="pl-PL"/>
        </w:rPr>
      </w:pPr>
      <w:r w:rsidRPr="00B20910">
        <w:rPr>
          <w:lang w:val="vi-VN"/>
        </w:rPr>
        <w:t>4. Quy định về trách nhiệm, phương pháp đánh giá liều và theo dõi sức khỏe của cá nhân bị chiếu xạ quá liều.</w:t>
      </w:r>
    </w:p>
    <w:p w:rsidR="00E42EB6" w:rsidRPr="00B20910" w:rsidRDefault="00E42EB6" w:rsidP="00E42EB6">
      <w:pPr>
        <w:spacing w:before="120" w:after="280" w:afterAutospacing="1"/>
        <w:rPr>
          <w:lang w:val="pl-PL"/>
        </w:rPr>
      </w:pPr>
      <w:r w:rsidRPr="00B20910">
        <w:rPr>
          <w:b/>
          <w:bCs/>
          <w:lang w:val="vi-VN"/>
        </w:rPr>
        <w:lastRenderedPageBreak/>
        <w:t>IV. KẾ HOẠCH ỨNG PHÓ SỰ CỐ ĐỐI VỚI CÁC CƠ SỞ ĐĂNG KÝ DỊCH VỤ HỖ TRỢ NĂNG LƯỢNG NGUYÊN TỬ</w:t>
      </w:r>
    </w:p>
    <w:p w:rsidR="00E42EB6" w:rsidRPr="00B20910" w:rsidRDefault="00E42EB6" w:rsidP="00E42EB6">
      <w:pPr>
        <w:spacing w:before="120" w:after="280" w:afterAutospacing="1"/>
        <w:rPr>
          <w:lang w:val="pl-PL"/>
        </w:rPr>
      </w:pPr>
      <w:r w:rsidRPr="00B20910">
        <w:rPr>
          <w:lang w:val="vi-VN"/>
        </w:rPr>
        <w:t>1. Căn cứ pháp lý, sơ đồ tổ chức ứng phó sự cố tại cơ sở; trách nhiệm của tổ chức, cá nhân liên quan và nguồn lực phục vụ ứng phó sự cố.</w:t>
      </w:r>
    </w:p>
    <w:p w:rsidR="00E42EB6" w:rsidRPr="00B20910" w:rsidRDefault="00E42EB6" w:rsidP="00E42EB6">
      <w:pPr>
        <w:spacing w:before="120" w:after="280" w:afterAutospacing="1"/>
        <w:rPr>
          <w:lang w:val="pl-PL"/>
        </w:rPr>
      </w:pPr>
      <w:r w:rsidRPr="00B20910">
        <w:rPr>
          <w:lang w:val="vi-VN"/>
        </w:rPr>
        <w:t>2. Mô tả loại hình dịch vụ hỗ trợ năng lượng nguyên tử của cơ sở; phân tích nguy cơ và xác định các tình huống sự cố, hậu quả có thể xảy ra khi cung cấp dịch vụ.</w:t>
      </w:r>
    </w:p>
    <w:p w:rsidR="00E42EB6" w:rsidRPr="00B20910" w:rsidRDefault="00E42EB6" w:rsidP="00E42EB6">
      <w:pPr>
        <w:spacing w:before="120" w:after="280" w:afterAutospacing="1"/>
        <w:rPr>
          <w:lang w:val="pl-PL"/>
        </w:rPr>
      </w:pPr>
      <w:r w:rsidRPr="00B20910">
        <w:rPr>
          <w:lang w:val="vi-VN"/>
        </w:rPr>
        <w:t>3. Kịch bản ứng phó sự cố cho từng tình huống mô tả tại khoản 2 mục này.</w:t>
      </w:r>
    </w:p>
    <w:p w:rsidR="00E42EB6" w:rsidRPr="00B20910" w:rsidRDefault="00E42EB6" w:rsidP="00E42EB6">
      <w:pPr>
        <w:spacing w:before="120" w:after="280" w:afterAutospacing="1"/>
        <w:rPr>
          <w:lang w:val="pl-PL"/>
        </w:rPr>
      </w:pPr>
      <w:r w:rsidRPr="00B20910">
        <w:rPr>
          <w:lang w:val="vi-VN"/>
        </w:rPr>
        <w:t>4. Báo cáo kết thúc sự cố: Nơi nhận, thời gian gửi, nội dung của báo cáo (hoạt động ứng phó sự cố, các biện pháp khắc phục sự cố đã được tiến hành, hậu quả với con người, hậu quả với môi trường, đánh giá liều bức xạ, kết luận và kiến nghị).</w:t>
      </w:r>
    </w:p>
    <w:p w:rsidR="00E42EB6" w:rsidRPr="00B20910" w:rsidRDefault="00E42EB6" w:rsidP="00E42EB6">
      <w:pPr>
        <w:spacing w:before="120" w:after="280" w:afterAutospacing="1"/>
        <w:rPr>
          <w:lang w:val="pl-PL"/>
        </w:rPr>
      </w:pPr>
      <w:r w:rsidRPr="00B20910">
        <w:rPr>
          <w:lang w:val="vi-VN"/>
        </w:rPr>
        <w:t>5. Đào tạo, diễn tập, cập nhật kế hoạch ứng phó sự cố.</w:t>
      </w:r>
    </w:p>
    <w:p w:rsidR="00E42EB6" w:rsidRPr="00B20910" w:rsidRDefault="00E42EB6" w:rsidP="00E42EB6">
      <w:pPr>
        <w:spacing w:before="120" w:after="280" w:afterAutospacing="1"/>
        <w:rPr>
          <w:lang w:val="pl-PL"/>
        </w:rPr>
      </w:pPr>
      <w:r w:rsidRPr="00B20910">
        <w:rPr>
          <w:lang w:val="vi-VN"/>
        </w:rPr>
        <w:t>6. Tài liệu kèm theo:</w:t>
      </w:r>
    </w:p>
    <w:p w:rsidR="00E42EB6" w:rsidRPr="00B20910" w:rsidRDefault="00E42EB6" w:rsidP="00E42EB6">
      <w:pPr>
        <w:spacing w:before="120" w:after="280" w:afterAutospacing="1"/>
        <w:rPr>
          <w:lang w:val="pl-PL"/>
        </w:rPr>
      </w:pPr>
      <w:r w:rsidRPr="00B20910">
        <w:rPr>
          <w:lang w:val="vi-VN"/>
        </w:rPr>
        <w:t>a) Danh sách, địa chỉ, số điện thoại liên lạc của tổ chức, cá nhân tham gia ứng phó sự cố và tổ chức, cá nhân hỗ trợ;</w:t>
      </w:r>
    </w:p>
    <w:p w:rsidR="00E42EB6" w:rsidRPr="00B20910" w:rsidRDefault="00E42EB6" w:rsidP="00E42EB6">
      <w:pPr>
        <w:spacing w:before="120" w:after="280" w:afterAutospacing="1"/>
        <w:rPr>
          <w:lang w:val="pl-PL"/>
        </w:rPr>
      </w:pPr>
      <w:r w:rsidRPr="00B20910">
        <w:rPr>
          <w:lang w:val="vi-VN"/>
        </w:rPr>
        <w:t>b) Danh mục trang thiết bị sử dụng trong ứng phó sự cố;</w:t>
      </w:r>
    </w:p>
    <w:p w:rsidR="00E42EB6" w:rsidRPr="00B20910" w:rsidRDefault="00E42EB6" w:rsidP="00E42EB6">
      <w:pPr>
        <w:spacing w:before="120" w:after="280" w:afterAutospacing="1"/>
        <w:rPr>
          <w:lang w:val="pl-PL"/>
        </w:rPr>
      </w:pPr>
      <w:r w:rsidRPr="00B20910">
        <w:rPr>
          <w:lang w:val="vi-VN"/>
        </w:rPr>
        <w:t>c) Các biểu mẫu: Thông báo và tiếp nhận thông tin; yêu cầu trợ giúp; báo cáo trong quá trình ứng phó và sau khi sự cố kết thúc./.</w:t>
      </w:r>
    </w:p>
    <w:p w:rsidR="00E42EB6" w:rsidRPr="00B20910" w:rsidRDefault="00E42EB6" w:rsidP="00E42EB6">
      <w:pPr>
        <w:ind w:firstLine="567"/>
        <w:jc w:val="both"/>
        <w:outlineLvl w:val="0"/>
        <w:rPr>
          <w:b/>
          <w:lang w:val="pl-PL"/>
        </w:rPr>
      </w:pPr>
    </w:p>
    <w:p w:rsidR="00E42EB6" w:rsidRPr="00B20910" w:rsidRDefault="00E42EB6" w:rsidP="00E42EB6">
      <w:pPr>
        <w:ind w:firstLine="567"/>
        <w:jc w:val="both"/>
        <w:outlineLvl w:val="0"/>
        <w:rPr>
          <w:b/>
          <w:lang w:val="pl-PL"/>
        </w:rPr>
      </w:pPr>
    </w:p>
    <w:p w:rsidR="00E42EB6" w:rsidRPr="00B20910" w:rsidRDefault="00E42EB6" w:rsidP="00E42EB6">
      <w:pPr>
        <w:ind w:firstLine="567"/>
        <w:jc w:val="both"/>
        <w:outlineLvl w:val="0"/>
        <w:rPr>
          <w:b/>
          <w:lang w:val="pl-PL"/>
        </w:rPr>
      </w:pPr>
    </w:p>
    <w:p w:rsidR="00E42EB6" w:rsidRPr="00B20910" w:rsidRDefault="00E42EB6" w:rsidP="00E42EB6">
      <w:pPr>
        <w:ind w:firstLine="567"/>
        <w:jc w:val="both"/>
        <w:outlineLvl w:val="0"/>
        <w:rPr>
          <w:b/>
          <w:lang w:val="pl-PL"/>
        </w:rPr>
      </w:pPr>
    </w:p>
    <w:p w:rsidR="003F5452" w:rsidRDefault="003F5452">
      <w:bookmarkStart w:id="1" w:name="_GoBack"/>
      <w:bookmarkEnd w:id="1"/>
    </w:p>
    <w:sectPr w:rsidR="003F5452" w:rsidSect="00081ED4">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B6"/>
    <w:rsid w:val="00081ED4"/>
    <w:rsid w:val="003F5452"/>
    <w:rsid w:val="00957ECC"/>
    <w:rsid w:val="00C8615D"/>
    <w:rsid w:val="00E42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9CD63-5D6E-4537-B67E-EBCC5D53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EB6"/>
    <w:pPr>
      <w:spacing w:after="0" w:line="240" w:lineRule="auto"/>
    </w:pPr>
    <w:rPr>
      <w:rFonts w:ascii="Times New Roman" w:eastAsia="Times New Roman" w:hAnsi="Times New Roman"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Tôn Bùi</dc:creator>
  <cp:keywords/>
  <dc:description/>
  <cp:lastModifiedBy>Tôn Bùi</cp:lastModifiedBy>
  <cp:revision>1</cp:revision>
  <dcterms:created xsi:type="dcterms:W3CDTF">2022-11-18T04:04:00Z</dcterms:created>
  <dcterms:modified xsi:type="dcterms:W3CDTF">2022-11-18T04:25:00Z</dcterms:modified>
</cp:coreProperties>
</file>